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2015年三公经费减少原因</w:t>
      </w:r>
    </w:p>
    <w:p>
      <w:pPr>
        <w:jc w:val="center"/>
        <w:rPr>
          <w:rFonts w:hint="eastAsia"/>
          <w:lang w:val="en-US" w:eastAsia="zh-CN"/>
        </w:rPr>
      </w:pPr>
    </w:p>
    <w:p>
      <w:pPr>
        <w:ind w:firstLine="455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/>
          <w:sz w:val="28"/>
          <w:szCs w:val="28"/>
          <w:lang w:val="en-US" w:eastAsia="zh-CN"/>
        </w:rPr>
        <w:t>2014年公务用车运行费预算安排为56.21万元，2015年同比减少0.39万元，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厉行节约精神，规范管理，严格控制和压缩公务车运行费用支出。</w:t>
      </w:r>
    </w:p>
    <w:p>
      <w:pPr>
        <w:ind w:firstLine="455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ind w:firstLine="455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ind w:firstLine="455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ind w:firstLine="455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ind w:firstLine="455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ind w:firstLine="455"/>
        <w:jc w:val="right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霸州市人民检察院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0425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cws</dc:creator>
  <cp:lastModifiedBy>cws</cp:lastModifiedBy>
  <dcterms:modified xsi:type="dcterms:W3CDTF">2016-12-25T11:15:37Z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